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6C3" w:rsidRDefault="001216C3">
      <w:pPr>
        <w:rPr>
          <w:rFonts w:ascii="Times New Roman" w:hAnsi="Times New Roman" w:cs="Times New Roman"/>
          <w:sz w:val="24"/>
          <w:szCs w:val="24"/>
        </w:rPr>
      </w:pPr>
    </w:p>
    <w:p w:rsidR="0093378F" w:rsidRDefault="0093378F">
      <w:pPr>
        <w:rPr>
          <w:rFonts w:ascii="Times New Roman" w:hAnsi="Times New Roman" w:cs="Times New Roman"/>
          <w:sz w:val="24"/>
          <w:szCs w:val="24"/>
        </w:rPr>
      </w:pPr>
    </w:p>
    <w:p w:rsidR="0093378F" w:rsidRDefault="0093378F">
      <w:pPr>
        <w:rPr>
          <w:rFonts w:ascii="Times New Roman" w:hAnsi="Times New Roman" w:cs="Times New Roman"/>
          <w:sz w:val="24"/>
          <w:szCs w:val="24"/>
        </w:rPr>
      </w:pPr>
    </w:p>
    <w:p w:rsidR="00BD0A84" w:rsidRDefault="00BD0A84" w:rsidP="00FB6A21">
      <w:pPr>
        <w:jc w:val="center"/>
        <w:rPr>
          <w:rFonts w:ascii="Times New Roman" w:hAnsi="Times New Roman" w:cs="Times New Roman"/>
          <w:b/>
          <w:sz w:val="24"/>
          <w:szCs w:val="24"/>
        </w:rPr>
      </w:pPr>
    </w:p>
    <w:p w:rsidR="00FB6A21" w:rsidRPr="0093378F" w:rsidRDefault="00FB6A21" w:rsidP="00FB6A21">
      <w:pPr>
        <w:jc w:val="center"/>
        <w:rPr>
          <w:rFonts w:ascii="Times New Roman" w:hAnsi="Times New Roman" w:cs="Times New Roman"/>
          <w:b/>
          <w:sz w:val="24"/>
          <w:szCs w:val="24"/>
        </w:rPr>
      </w:pPr>
      <w:r>
        <w:rPr>
          <w:rFonts w:ascii="Times New Roman" w:hAnsi="Times New Roman" w:cs="Times New Roman"/>
          <w:b/>
          <w:sz w:val="24"/>
          <w:szCs w:val="24"/>
        </w:rPr>
        <w:t xml:space="preserve">Article Review: </w:t>
      </w:r>
      <w:r w:rsidRPr="00FB6A21">
        <w:rPr>
          <w:rFonts w:ascii="Times New Roman" w:hAnsi="Times New Roman" w:cs="Times New Roman"/>
          <w:b/>
          <w:sz w:val="24"/>
          <w:szCs w:val="24"/>
        </w:rPr>
        <w:t>Health Insurance Affordability Concerns and Health Care Avoidance Among US Adults Approaching Retirement</w:t>
      </w:r>
    </w:p>
    <w:p w:rsidR="0093378F" w:rsidRDefault="0093378F" w:rsidP="0093378F">
      <w:pPr>
        <w:jc w:val="center"/>
        <w:rPr>
          <w:rFonts w:ascii="Times New Roman" w:hAnsi="Times New Roman" w:cs="Times New Roman"/>
          <w:sz w:val="24"/>
          <w:szCs w:val="24"/>
        </w:rPr>
      </w:pPr>
      <w:r>
        <w:rPr>
          <w:rFonts w:ascii="Times New Roman" w:hAnsi="Times New Roman" w:cs="Times New Roman"/>
          <w:sz w:val="24"/>
          <w:szCs w:val="24"/>
        </w:rPr>
        <w:t>Author’s Name</w:t>
      </w:r>
    </w:p>
    <w:p w:rsidR="0093378F" w:rsidRDefault="0093378F" w:rsidP="0093378F">
      <w:pPr>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93378F" w:rsidRDefault="0093378F" w:rsidP="0093378F">
      <w:pPr>
        <w:jc w:val="center"/>
        <w:rPr>
          <w:rFonts w:ascii="Times New Roman" w:hAnsi="Times New Roman" w:cs="Times New Roman"/>
          <w:sz w:val="24"/>
          <w:szCs w:val="24"/>
        </w:rPr>
      </w:pPr>
      <w:r>
        <w:rPr>
          <w:rFonts w:ascii="Times New Roman" w:hAnsi="Times New Roman" w:cs="Times New Roman"/>
          <w:sz w:val="24"/>
          <w:szCs w:val="24"/>
        </w:rPr>
        <w:t>Course Name and Number</w:t>
      </w:r>
    </w:p>
    <w:p w:rsidR="0093378F" w:rsidRDefault="0093378F" w:rsidP="0093378F">
      <w:pPr>
        <w:jc w:val="center"/>
        <w:rPr>
          <w:rFonts w:ascii="Times New Roman" w:hAnsi="Times New Roman" w:cs="Times New Roman"/>
          <w:sz w:val="24"/>
          <w:szCs w:val="24"/>
        </w:rPr>
      </w:pPr>
      <w:r>
        <w:rPr>
          <w:rFonts w:ascii="Times New Roman" w:hAnsi="Times New Roman" w:cs="Times New Roman"/>
          <w:sz w:val="24"/>
          <w:szCs w:val="24"/>
        </w:rPr>
        <w:t>Instructor’s Name</w:t>
      </w:r>
    </w:p>
    <w:p w:rsidR="0093378F" w:rsidRDefault="0093378F" w:rsidP="0093378F">
      <w:pPr>
        <w:jc w:val="center"/>
        <w:rPr>
          <w:rFonts w:ascii="Times New Roman" w:hAnsi="Times New Roman" w:cs="Times New Roman"/>
          <w:sz w:val="24"/>
          <w:szCs w:val="24"/>
        </w:rPr>
      </w:pPr>
      <w:r>
        <w:rPr>
          <w:rFonts w:ascii="Times New Roman" w:hAnsi="Times New Roman" w:cs="Times New Roman"/>
          <w:sz w:val="24"/>
          <w:szCs w:val="24"/>
        </w:rPr>
        <w:t>Due Date</w:t>
      </w:r>
    </w:p>
    <w:p w:rsidR="0093378F" w:rsidRDefault="0093378F" w:rsidP="0093378F">
      <w:pPr>
        <w:jc w:val="center"/>
        <w:rPr>
          <w:rFonts w:ascii="Times New Roman" w:hAnsi="Times New Roman" w:cs="Times New Roman"/>
          <w:sz w:val="24"/>
          <w:szCs w:val="24"/>
        </w:rPr>
      </w:pPr>
    </w:p>
    <w:p w:rsidR="0093378F" w:rsidRDefault="0093378F" w:rsidP="0093378F">
      <w:pPr>
        <w:jc w:val="center"/>
        <w:rPr>
          <w:rFonts w:ascii="Times New Roman" w:hAnsi="Times New Roman" w:cs="Times New Roman"/>
          <w:sz w:val="24"/>
          <w:szCs w:val="24"/>
        </w:rPr>
      </w:pPr>
    </w:p>
    <w:p w:rsidR="0093378F" w:rsidRDefault="0093378F" w:rsidP="0093378F">
      <w:pPr>
        <w:jc w:val="center"/>
        <w:rPr>
          <w:rFonts w:ascii="Times New Roman" w:hAnsi="Times New Roman" w:cs="Times New Roman"/>
          <w:sz w:val="24"/>
          <w:szCs w:val="24"/>
        </w:rPr>
      </w:pPr>
    </w:p>
    <w:p w:rsidR="0093378F" w:rsidRDefault="0093378F" w:rsidP="0093378F">
      <w:pPr>
        <w:jc w:val="center"/>
        <w:rPr>
          <w:rFonts w:ascii="Times New Roman" w:hAnsi="Times New Roman" w:cs="Times New Roman"/>
          <w:sz w:val="24"/>
          <w:szCs w:val="24"/>
        </w:rPr>
      </w:pPr>
    </w:p>
    <w:p w:rsidR="0093378F" w:rsidRDefault="0093378F" w:rsidP="0093378F">
      <w:pPr>
        <w:jc w:val="center"/>
        <w:rPr>
          <w:rFonts w:ascii="Times New Roman" w:hAnsi="Times New Roman" w:cs="Times New Roman"/>
          <w:sz w:val="24"/>
          <w:szCs w:val="24"/>
        </w:rPr>
      </w:pPr>
    </w:p>
    <w:p w:rsidR="0093378F" w:rsidRDefault="0093378F" w:rsidP="0093378F">
      <w:pPr>
        <w:jc w:val="center"/>
        <w:rPr>
          <w:rFonts w:ascii="Times New Roman" w:hAnsi="Times New Roman" w:cs="Times New Roman"/>
          <w:sz w:val="24"/>
          <w:szCs w:val="24"/>
        </w:rPr>
      </w:pPr>
    </w:p>
    <w:p w:rsidR="0093378F" w:rsidRDefault="0093378F" w:rsidP="0093378F">
      <w:pPr>
        <w:jc w:val="center"/>
        <w:rPr>
          <w:rFonts w:ascii="Times New Roman" w:hAnsi="Times New Roman" w:cs="Times New Roman"/>
          <w:sz w:val="24"/>
          <w:szCs w:val="24"/>
        </w:rPr>
      </w:pPr>
    </w:p>
    <w:p w:rsidR="0093378F" w:rsidRDefault="0093378F" w:rsidP="0093378F">
      <w:pPr>
        <w:jc w:val="center"/>
        <w:rPr>
          <w:rFonts w:ascii="Times New Roman" w:hAnsi="Times New Roman" w:cs="Times New Roman"/>
          <w:sz w:val="24"/>
          <w:szCs w:val="24"/>
        </w:rPr>
      </w:pPr>
    </w:p>
    <w:p w:rsidR="0093378F" w:rsidRDefault="0093378F" w:rsidP="0093378F">
      <w:pPr>
        <w:jc w:val="center"/>
        <w:rPr>
          <w:rFonts w:ascii="Times New Roman" w:hAnsi="Times New Roman" w:cs="Times New Roman"/>
          <w:sz w:val="24"/>
          <w:szCs w:val="24"/>
        </w:rPr>
      </w:pPr>
    </w:p>
    <w:p w:rsidR="0093378F" w:rsidRDefault="0093378F" w:rsidP="0093378F">
      <w:pPr>
        <w:jc w:val="center"/>
        <w:rPr>
          <w:rFonts w:ascii="Times New Roman" w:hAnsi="Times New Roman" w:cs="Times New Roman"/>
          <w:sz w:val="24"/>
          <w:szCs w:val="24"/>
        </w:rPr>
      </w:pPr>
    </w:p>
    <w:p w:rsidR="0093378F" w:rsidRDefault="0093378F" w:rsidP="0093378F">
      <w:pPr>
        <w:jc w:val="center"/>
        <w:rPr>
          <w:rFonts w:ascii="Times New Roman" w:hAnsi="Times New Roman" w:cs="Times New Roman"/>
          <w:sz w:val="24"/>
          <w:szCs w:val="24"/>
        </w:rPr>
      </w:pPr>
    </w:p>
    <w:p w:rsidR="0093378F" w:rsidRDefault="0093378F" w:rsidP="0093378F">
      <w:pPr>
        <w:jc w:val="center"/>
        <w:rPr>
          <w:rFonts w:ascii="Times New Roman" w:hAnsi="Times New Roman" w:cs="Times New Roman"/>
          <w:sz w:val="24"/>
          <w:szCs w:val="24"/>
        </w:rPr>
      </w:pPr>
    </w:p>
    <w:p w:rsidR="0093378F" w:rsidRPr="0093378F" w:rsidRDefault="00FB6A21" w:rsidP="0093378F">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Article Review: </w:t>
      </w:r>
      <w:r w:rsidRPr="00FB6A21">
        <w:rPr>
          <w:rFonts w:ascii="Times New Roman" w:hAnsi="Times New Roman" w:cs="Times New Roman"/>
          <w:b/>
          <w:sz w:val="24"/>
          <w:szCs w:val="24"/>
        </w:rPr>
        <w:t>Health Insurance Affordability Concerns and Health Care Avoidance Among US Adults Approaching Retirement</w:t>
      </w:r>
    </w:p>
    <w:p w:rsidR="0093378F" w:rsidRDefault="0055350B" w:rsidP="00B3014B">
      <w:pPr>
        <w:rPr>
          <w:rFonts w:ascii="Times New Roman" w:hAnsi="Times New Roman" w:cs="Times New Roman"/>
          <w:sz w:val="24"/>
          <w:szCs w:val="24"/>
        </w:rPr>
      </w:pPr>
      <w:r>
        <w:rPr>
          <w:rFonts w:ascii="Times New Roman" w:hAnsi="Times New Roman" w:cs="Times New Roman"/>
          <w:sz w:val="24"/>
          <w:szCs w:val="24"/>
        </w:rPr>
        <w:tab/>
      </w:r>
      <w:r w:rsidR="0093378F">
        <w:rPr>
          <w:rFonts w:ascii="Times New Roman" w:hAnsi="Times New Roman" w:cs="Times New Roman"/>
          <w:sz w:val="24"/>
          <w:szCs w:val="24"/>
        </w:rPr>
        <w:t xml:space="preserve"> </w:t>
      </w:r>
      <w:r w:rsidR="00B3014B" w:rsidRPr="00B3014B">
        <w:rPr>
          <w:rFonts w:ascii="Times New Roman" w:hAnsi="Times New Roman" w:cs="Times New Roman"/>
          <w:sz w:val="24"/>
          <w:szCs w:val="24"/>
        </w:rPr>
        <w:t xml:space="preserve">In the United States, adults are eligible for medical health insurance cover from 65 years. However, adulthood begins at 50 years, with the majority facing health complications, </w:t>
      </w:r>
      <w:r w:rsidR="0030429A">
        <w:rPr>
          <w:rFonts w:ascii="Times New Roman" w:hAnsi="Times New Roman" w:cs="Times New Roman"/>
          <w:sz w:val="24"/>
          <w:szCs w:val="24"/>
        </w:rPr>
        <w:t>especially chronic diseases with major challenge being</w:t>
      </w:r>
      <w:r w:rsidR="00B3014B" w:rsidRPr="00B3014B">
        <w:rPr>
          <w:rFonts w:ascii="Times New Roman" w:hAnsi="Times New Roman" w:cs="Times New Roman"/>
          <w:sz w:val="24"/>
          <w:szCs w:val="24"/>
        </w:rPr>
        <w:t xml:space="preserve"> increased medical costs</w:t>
      </w:r>
      <w:r w:rsidR="0030429A">
        <w:rPr>
          <w:rFonts w:ascii="Times New Roman" w:hAnsi="Times New Roman" w:cs="Times New Roman"/>
          <w:sz w:val="24"/>
          <w:szCs w:val="24"/>
        </w:rPr>
        <w:t xml:space="preserve"> as most of this population have retired or near the retirement age</w:t>
      </w:r>
      <w:r w:rsidR="00B3014B" w:rsidRPr="00B3014B">
        <w:rPr>
          <w:rFonts w:ascii="Times New Roman" w:hAnsi="Times New Roman" w:cs="Times New Roman"/>
          <w:sz w:val="24"/>
          <w:szCs w:val="24"/>
        </w:rPr>
        <w:t>.  According to Tip</w:t>
      </w:r>
      <w:r w:rsidR="0030429A">
        <w:rPr>
          <w:rFonts w:ascii="Times New Roman" w:hAnsi="Times New Roman" w:cs="Times New Roman"/>
          <w:sz w:val="24"/>
          <w:szCs w:val="24"/>
        </w:rPr>
        <w:t xml:space="preserve">irneni et al. (2020), </w:t>
      </w:r>
      <w:r w:rsidR="00B3014B" w:rsidRPr="00B3014B">
        <w:rPr>
          <w:rFonts w:ascii="Times New Roman" w:hAnsi="Times New Roman" w:cs="Times New Roman"/>
          <w:sz w:val="24"/>
          <w:szCs w:val="24"/>
        </w:rPr>
        <w:t>50 to 64 years marks the age of retirement for most Americans. Resultantly, this population begins to worry about their potential to afford their health insurance, as ACA only covers adults from 65 years.  This challenge has contributed significantly to increasing cases of mortality rate subject to chronic illnesses and the inability to afford health insurance coverage. There is a need to expand Medicaid insurance cover and form Marketplace plans by the ACA</w:t>
      </w:r>
      <w:r w:rsidR="0030429A">
        <w:rPr>
          <w:rFonts w:ascii="Times New Roman" w:hAnsi="Times New Roman" w:cs="Times New Roman"/>
          <w:sz w:val="24"/>
          <w:szCs w:val="24"/>
        </w:rPr>
        <w:t xml:space="preserve"> in this regard. This approach will open </w:t>
      </w:r>
      <w:r w:rsidR="00B3014B" w:rsidRPr="00B3014B">
        <w:rPr>
          <w:rFonts w:ascii="Times New Roman" w:hAnsi="Times New Roman" w:cs="Times New Roman"/>
          <w:sz w:val="24"/>
          <w:szCs w:val="24"/>
        </w:rPr>
        <w:t>door</w:t>
      </w:r>
      <w:r w:rsidR="0030429A">
        <w:rPr>
          <w:rFonts w:ascii="Times New Roman" w:hAnsi="Times New Roman" w:cs="Times New Roman"/>
          <w:sz w:val="24"/>
          <w:szCs w:val="24"/>
        </w:rPr>
        <w:t>s</w:t>
      </w:r>
      <w:r w:rsidR="00B3014B" w:rsidRPr="00B3014B">
        <w:rPr>
          <w:rFonts w:ascii="Times New Roman" w:hAnsi="Times New Roman" w:cs="Times New Roman"/>
          <w:sz w:val="24"/>
          <w:szCs w:val="24"/>
        </w:rPr>
        <w:t xml:space="preserve"> for potential insurance options and address complicated decisions relating to quality pa</w:t>
      </w:r>
      <w:r w:rsidR="0030429A">
        <w:rPr>
          <w:rFonts w:ascii="Times New Roman" w:hAnsi="Times New Roman" w:cs="Times New Roman"/>
          <w:sz w:val="24"/>
          <w:szCs w:val="24"/>
        </w:rPr>
        <w:t>tient care among this group</w:t>
      </w:r>
      <w:r w:rsidR="00B3014B" w:rsidRPr="00B3014B">
        <w:rPr>
          <w:rFonts w:ascii="Times New Roman" w:hAnsi="Times New Roman" w:cs="Times New Roman"/>
          <w:sz w:val="24"/>
          <w:szCs w:val="24"/>
        </w:rPr>
        <w:t xml:space="preserve"> during and after </w:t>
      </w:r>
      <w:r w:rsidR="00770F9F">
        <w:rPr>
          <w:rFonts w:ascii="Times New Roman" w:hAnsi="Times New Roman" w:cs="Times New Roman"/>
          <w:sz w:val="24"/>
          <w:szCs w:val="24"/>
        </w:rPr>
        <w:t xml:space="preserve">retirement. In this article, </w:t>
      </w:r>
      <w:r w:rsidR="00B3014B" w:rsidRPr="00B3014B">
        <w:rPr>
          <w:rFonts w:ascii="Times New Roman" w:hAnsi="Times New Roman" w:cs="Times New Roman"/>
          <w:sz w:val="24"/>
          <w:szCs w:val="24"/>
        </w:rPr>
        <w:t>authors present primary health challenges faced by adults aged 50-64 as they approach retirement age and their association with decision-making on retirement and health care.</w:t>
      </w:r>
      <w:r w:rsidR="00B3014B">
        <w:rPr>
          <w:rFonts w:ascii="Times New Roman" w:hAnsi="Times New Roman" w:cs="Times New Roman"/>
          <w:sz w:val="24"/>
          <w:szCs w:val="24"/>
        </w:rPr>
        <w:t xml:space="preserve"> </w:t>
      </w:r>
    </w:p>
    <w:p w:rsidR="00E60727" w:rsidRDefault="00770F9F" w:rsidP="00B3014B">
      <w:pPr>
        <w:rPr>
          <w:rFonts w:ascii="Times New Roman" w:hAnsi="Times New Roman" w:cs="Times New Roman"/>
          <w:sz w:val="24"/>
          <w:szCs w:val="24"/>
        </w:rPr>
      </w:pPr>
      <w:r>
        <w:rPr>
          <w:rFonts w:ascii="Times New Roman" w:hAnsi="Times New Roman" w:cs="Times New Roman"/>
          <w:sz w:val="24"/>
          <w:szCs w:val="24"/>
        </w:rPr>
        <w:tab/>
      </w:r>
      <w:r w:rsidR="00E60727" w:rsidRPr="00E60727">
        <w:rPr>
          <w:rFonts w:ascii="Times New Roman" w:hAnsi="Times New Roman" w:cs="Times New Roman"/>
          <w:sz w:val="24"/>
          <w:szCs w:val="24"/>
        </w:rPr>
        <w:t xml:space="preserve">Most adults in the United States cannot afford health insurance, thus raising concern as they mark the majority of the population. From the data collected by Tipirneni et al. (2020) in their research, almost a quarter of the respondents have less confidence in their potential to afford medical insurance and </w:t>
      </w:r>
      <w:r w:rsidR="0030429A">
        <w:rPr>
          <w:rFonts w:ascii="Times New Roman" w:hAnsi="Times New Roman" w:cs="Times New Roman"/>
          <w:sz w:val="24"/>
          <w:szCs w:val="24"/>
        </w:rPr>
        <w:t>expenditure</w:t>
      </w:r>
      <w:r w:rsidR="00E60727" w:rsidRPr="00E60727">
        <w:rPr>
          <w:rFonts w:ascii="Times New Roman" w:hAnsi="Times New Roman" w:cs="Times New Roman"/>
          <w:sz w:val="24"/>
          <w:szCs w:val="24"/>
        </w:rPr>
        <w:t xml:space="preserve"> cost in the coming years. Similarly, those planning to retire before 65 years worry about the ability to afford health insurance as ACA only covers 65 years and above (Tipirneni et al., 2020, p.4). The increasing medical cos</w:t>
      </w:r>
      <w:r w:rsidR="0030429A">
        <w:rPr>
          <w:rFonts w:ascii="Times New Roman" w:hAnsi="Times New Roman" w:cs="Times New Roman"/>
          <w:sz w:val="24"/>
          <w:szCs w:val="24"/>
        </w:rPr>
        <w:t xml:space="preserve">t in </w:t>
      </w:r>
      <w:r w:rsidR="00E60727" w:rsidRPr="00E60727">
        <w:rPr>
          <w:rFonts w:ascii="Times New Roman" w:hAnsi="Times New Roman" w:cs="Times New Roman"/>
          <w:sz w:val="24"/>
          <w:szCs w:val="24"/>
        </w:rPr>
        <w:t>health institution</w:t>
      </w:r>
      <w:r w:rsidR="0030429A">
        <w:rPr>
          <w:rFonts w:ascii="Times New Roman" w:hAnsi="Times New Roman" w:cs="Times New Roman"/>
          <w:sz w:val="24"/>
          <w:szCs w:val="24"/>
        </w:rPr>
        <w:t>s</w:t>
      </w:r>
      <w:r w:rsidR="00E60727" w:rsidRPr="00E60727">
        <w:rPr>
          <w:rFonts w:ascii="Times New Roman" w:hAnsi="Times New Roman" w:cs="Times New Roman"/>
          <w:sz w:val="24"/>
          <w:szCs w:val="24"/>
        </w:rPr>
        <w:t xml:space="preserve"> is worrying in the U.S. Consequently; older adults have been finding it challenging to retire or retain their jobs until the expected age to benefit from the Affordable Care Act.  According to </w:t>
      </w:r>
      <w:r w:rsidR="00E60727" w:rsidRPr="00E60727">
        <w:rPr>
          <w:rFonts w:ascii="Times New Roman" w:hAnsi="Times New Roman" w:cs="Times New Roman"/>
          <w:sz w:val="24"/>
          <w:szCs w:val="24"/>
        </w:rPr>
        <w:lastRenderedPageBreak/>
        <w:t xml:space="preserve">Tipirneni et al. (2020), 14.1% of the respondent from the surveyed data collected prefer keeping their jobs in their premium years of retirements to benefits for health insurance cover from their employers. Correspondingly, 11.4% would rather delay retirement, with 18.8% keeping their jobs to maintain their employers’ sponsorship </w:t>
      </w:r>
      <w:r w:rsidR="0030429A">
        <w:rPr>
          <w:rFonts w:ascii="Times New Roman" w:hAnsi="Times New Roman" w:cs="Times New Roman"/>
          <w:sz w:val="24"/>
          <w:szCs w:val="24"/>
        </w:rPr>
        <w:t>in medical insurance</w:t>
      </w:r>
      <w:r w:rsidR="0030429A" w:rsidRPr="00E60727">
        <w:rPr>
          <w:rFonts w:ascii="Times New Roman" w:hAnsi="Times New Roman" w:cs="Times New Roman"/>
          <w:sz w:val="24"/>
          <w:szCs w:val="24"/>
        </w:rPr>
        <w:t xml:space="preserve"> (</w:t>
      </w:r>
      <w:r w:rsidR="00E60727" w:rsidRPr="00E60727">
        <w:rPr>
          <w:rFonts w:ascii="Times New Roman" w:hAnsi="Times New Roman" w:cs="Times New Roman"/>
          <w:sz w:val="24"/>
          <w:szCs w:val="24"/>
        </w:rPr>
        <w:t>p.5). However, most adults approaching retirement age are prone to avoid Medicare cover subject to increasing cost and inability to afford. For instance, the survey conducted by Tipirneni et al. (2020) indicated that of the total retired population within the age bracket of 50 to 64, 18.2% avoided Medical care insurance and filling prescriptions due to increasing cost concerns (p.6).   Thus, new plans should be initiated to reduce the retirement age and push the ACA insurance cover to at least 50 years by making the enrollment automatic.</w:t>
      </w:r>
    </w:p>
    <w:p w:rsidR="00CA5C32" w:rsidRDefault="00CA5C32" w:rsidP="00B3014B">
      <w:pPr>
        <w:rPr>
          <w:rFonts w:ascii="Times New Roman" w:hAnsi="Times New Roman" w:cs="Times New Roman"/>
          <w:sz w:val="24"/>
          <w:szCs w:val="24"/>
        </w:rPr>
      </w:pPr>
      <w:r>
        <w:rPr>
          <w:rFonts w:ascii="Times New Roman" w:hAnsi="Times New Roman" w:cs="Times New Roman"/>
          <w:sz w:val="24"/>
          <w:szCs w:val="24"/>
        </w:rPr>
        <w:tab/>
      </w:r>
      <w:r w:rsidR="00E60727" w:rsidRPr="00E60727">
        <w:rPr>
          <w:rFonts w:ascii="Times New Roman" w:hAnsi="Times New Roman" w:cs="Times New Roman"/>
          <w:sz w:val="24"/>
          <w:szCs w:val="24"/>
        </w:rPr>
        <w:t>Despite providing detailed statistics regarding health insurance cover as a primary concern among the adults aged 50-64 in America. The study had several limitations. For instance, conducting an online survey is prone to having response bias despite using a broad national survey panel. Secondly, their survey focused on respondents’ current behavior and attitude, which would have been used as a variable to mitigate their recall bias. Thirdly, online surveys at times would not provide accurate results which can be obtained from the general population. Nevertheless, their findings may be relevant given the time frame as 90% of U.S.-aged 50 to 64 use the internet (Tipirneni et al., 2020 p.8).  Furthermore, the cross-sectional research was carried out after ACA legal issues; therefore, the results should be interpreted in response to national policy at the time of the survey.</w:t>
      </w:r>
      <w:r w:rsidR="00E60727">
        <w:rPr>
          <w:rFonts w:ascii="Times New Roman" w:hAnsi="Times New Roman" w:cs="Times New Roman"/>
          <w:sz w:val="24"/>
          <w:szCs w:val="24"/>
        </w:rPr>
        <w:t xml:space="preserve">   </w:t>
      </w:r>
    </w:p>
    <w:p w:rsidR="0051569D" w:rsidRDefault="00076025" w:rsidP="00B3014B">
      <w:pPr>
        <w:rPr>
          <w:rFonts w:ascii="Times New Roman" w:hAnsi="Times New Roman" w:cs="Times New Roman"/>
          <w:sz w:val="24"/>
          <w:szCs w:val="24"/>
        </w:rPr>
      </w:pPr>
      <w:r>
        <w:rPr>
          <w:rFonts w:ascii="Times New Roman" w:hAnsi="Times New Roman" w:cs="Times New Roman"/>
          <w:sz w:val="24"/>
          <w:szCs w:val="24"/>
        </w:rPr>
        <w:tab/>
      </w:r>
      <w:r w:rsidR="0051569D" w:rsidRPr="0051569D">
        <w:rPr>
          <w:rFonts w:ascii="Times New Roman" w:hAnsi="Times New Roman" w:cs="Times New Roman"/>
          <w:sz w:val="24"/>
          <w:szCs w:val="24"/>
        </w:rPr>
        <w:t xml:space="preserve">Generally, this article provides a detailed overview of health insurance coverage as a critical problem among adults and needs to address this challenge.  The primary concern of the population aged between 50-64, as per the findings, is the inability to afford health insurance and </w:t>
      </w:r>
      <w:r w:rsidR="0051569D" w:rsidRPr="0051569D">
        <w:rPr>
          <w:rFonts w:ascii="Times New Roman" w:hAnsi="Times New Roman" w:cs="Times New Roman"/>
          <w:sz w:val="24"/>
          <w:szCs w:val="24"/>
        </w:rPr>
        <w:lastRenderedPageBreak/>
        <w:t>the probability of future changes on medical insurance options. Therefore, there is a need to introduce effective healthcare policy options to cover patients approaching Medicare age understand the value of healthcare insurance cover options at their age.</w:t>
      </w:r>
      <w:r w:rsidR="0051569D">
        <w:rPr>
          <w:rFonts w:ascii="Times New Roman" w:hAnsi="Times New Roman" w:cs="Times New Roman"/>
          <w:sz w:val="24"/>
          <w:szCs w:val="24"/>
        </w:rPr>
        <w:t xml:space="preserve"> </w:t>
      </w:r>
    </w:p>
    <w:p w:rsidR="00076025" w:rsidRDefault="00076025"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Pr="0051569D" w:rsidRDefault="0051569D" w:rsidP="0051569D">
      <w:pPr>
        <w:pStyle w:val="NormalWeb"/>
        <w:spacing w:before="0" w:beforeAutospacing="0" w:after="0" w:afterAutospacing="0" w:line="480" w:lineRule="auto"/>
        <w:jc w:val="center"/>
        <w:rPr>
          <w:b/>
        </w:rPr>
      </w:pPr>
      <w:bookmarkStart w:id="0" w:name="_GoBack"/>
      <w:bookmarkEnd w:id="0"/>
      <w:r w:rsidRPr="0051569D">
        <w:rPr>
          <w:b/>
        </w:rPr>
        <w:lastRenderedPageBreak/>
        <w:t>References</w:t>
      </w:r>
    </w:p>
    <w:p w:rsidR="0051569D" w:rsidRDefault="0051569D" w:rsidP="0051569D">
      <w:pPr>
        <w:pStyle w:val="NormalWeb"/>
        <w:spacing w:before="0" w:beforeAutospacing="0" w:after="0" w:afterAutospacing="0" w:line="480" w:lineRule="auto"/>
        <w:ind w:left="720" w:hanging="720"/>
      </w:pPr>
      <w:r>
        <w:t xml:space="preserve">Tipirneni, R., Solway, E., Malani, P., Luster, J., Kullgren, J. T., Kirch, M., Singer, D., &amp; Scherer, A. M. (2020). Health insurance affordability concerns and health care avoidance among US adults approaching retirement. </w:t>
      </w:r>
      <w:r>
        <w:rPr>
          <w:i/>
          <w:iCs/>
        </w:rPr>
        <w:t>JAMA Network Open</w:t>
      </w:r>
      <w:r>
        <w:t xml:space="preserve">, </w:t>
      </w:r>
      <w:r>
        <w:rPr>
          <w:i/>
          <w:iCs/>
        </w:rPr>
        <w:t>3</w:t>
      </w:r>
      <w:r>
        <w:t xml:space="preserve">(2), 1–12. </w:t>
      </w:r>
      <w:hyperlink r:id="rId6" w:history="1">
        <w:r w:rsidRPr="00730AA0">
          <w:rPr>
            <w:rStyle w:val="Hyperlink"/>
          </w:rPr>
          <w:t>https://doi.org/10.1001/jamanetworkopen.2019.20647</w:t>
        </w:r>
      </w:hyperlink>
      <w:r>
        <w:t xml:space="preserve"> </w:t>
      </w: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CA5C32" w:rsidRDefault="00CA5C32" w:rsidP="00B3014B">
      <w:pPr>
        <w:rPr>
          <w:rFonts w:ascii="Times New Roman" w:hAnsi="Times New Roman" w:cs="Times New Roman"/>
          <w:sz w:val="24"/>
          <w:szCs w:val="24"/>
        </w:rPr>
      </w:pPr>
      <w:r>
        <w:rPr>
          <w:rFonts w:ascii="Times New Roman" w:hAnsi="Times New Roman" w:cs="Times New Roman"/>
          <w:sz w:val="24"/>
          <w:szCs w:val="24"/>
        </w:rPr>
        <w:tab/>
      </w:r>
    </w:p>
    <w:p w:rsidR="00770F9F" w:rsidRPr="0093378F" w:rsidRDefault="0032110E" w:rsidP="00B3014B">
      <w:pPr>
        <w:rPr>
          <w:rFonts w:ascii="Times New Roman" w:hAnsi="Times New Roman" w:cs="Times New Roman"/>
          <w:sz w:val="24"/>
          <w:szCs w:val="24"/>
        </w:rPr>
      </w:pPr>
      <w:r>
        <w:rPr>
          <w:rFonts w:ascii="Times New Roman" w:hAnsi="Times New Roman" w:cs="Times New Roman"/>
          <w:sz w:val="24"/>
          <w:szCs w:val="24"/>
        </w:rPr>
        <w:tab/>
      </w:r>
      <w:r w:rsidR="00770F9F">
        <w:rPr>
          <w:rFonts w:ascii="Times New Roman" w:hAnsi="Times New Roman" w:cs="Times New Roman"/>
          <w:sz w:val="24"/>
          <w:szCs w:val="24"/>
        </w:rPr>
        <w:tab/>
      </w:r>
    </w:p>
    <w:sectPr w:rsidR="00770F9F" w:rsidRPr="0093378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1B1" w:rsidRDefault="007621B1" w:rsidP="0093378F">
      <w:pPr>
        <w:spacing w:line="240" w:lineRule="auto"/>
      </w:pPr>
      <w:r>
        <w:separator/>
      </w:r>
    </w:p>
  </w:endnote>
  <w:endnote w:type="continuationSeparator" w:id="0">
    <w:p w:rsidR="007621B1" w:rsidRDefault="007621B1" w:rsidP="009337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802" w:rsidRDefault="0076480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802" w:rsidRDefault="0076480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802" w:rsidRDefault="0076480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1B1" w:rsidRDefault="007621B1" w:rsidP="0093378F">
      <w:pPr>
        <w:spacing w:line="240" w:lineRule="auto"/>
      </w:pPr>
      <w:r>
        <w:separator/>
      </w:r>
    </w:p>
  </w:footnote>
  <w:footnote w:type="continuationSeparator" w:id="0">
    <w:p w:rsidR="007621B1" w:rsidRDefault="007621B1" w:rsidP="009337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802" w:rsidRDefault="0076480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991401603"/>
      <w:docPartObj>
        <w:docPartGallery w:val="Page Numbers (Top of Page)"/>
        <w:docPartUnique/>
      </w:docPartObj>
    </w:sdtPr>
    <w:sdtEndPr>
      <w:rPr>
        <w:noProof/>
      </w:rPr>
    </w:sdtEndPr>
    <w:sdtContent>
      <w:p w:rsidR="0093378F" w:rsidRPr="0093378F" w:rsidRDefault="0093378F" w:rsidP="0093378F">
        <w:pPr>
          <w:pStyle w:val="Header"/>
          <w:spacing w:line="480" w:lineRule="auto"/>
          <w:jc w:val="right"/>
          <w:rPr>
            <w:rFonts w:ascii="Times New Roman" w:hAnsi="Times New Roman" w:cs="Times New Roman"/>
            <w:sz w:val="24"/>
            <w:szCs w:val="24"/>
          </w:rPr>
        </w:pPr>
        <w:r w:rsidRPr="0093378F">
          <w:rPr>
            <w:rFonts w:ascii="Times New Roman" w:hAnsi="Times New Roman" w:cs="Times New Roman"/>
            <w:sz w:val="24"/>
            <w:szCs w:val="24"/>
          </w:rPr>
          <w:fldChar w:fldCharType="begin"/>
        </w:r>
        <w:r w:rsidRPr="0093378F">
          <w:rPr>
            <w:rFonts w:ascii="Times New Roman" w:hAnsi="Times New Roman" w:cs="Times New Roman"/>
            <w:sz w:val="24"/>
            <w:szCs w:val="24"/>
          </w:rPr>
          <w:instrText xml:space="preserve"> PAGE   \* MERGEFORMAT </w:instrText>
        </w:r>
        <w:r w:rsidRPr="0093378F">
          <w:rPr>
            <w:rFonts w:ascii="Times New Roman" w:hAnsi="Times New Roman" w:cs="Times New Roman"/>
            <w:sz w:val="24"/>
            <w:szCs w:val="24"/>
          </w:rPr>
          <w:fldChar w:fldCharType="separate"/>
        </w:r>
        <w:r w:rsidR="00A94E32">
          <w:rPr>
            <w:rFonts w:ascii="Times New Roman" w:hAnsi="Times New Roman" w:cs="Times New Roman"/>
            <w:noProof/>
            <w:sz w:val="24"/>
            <w:szCs w:val="24"/>
          </w:rPr>
          <w:t>5</w:t>
        </w:r>
        <w:r w:rsidRPr="0093378F">
          <w:rPr>
            <w:rFonts w:ascii="Times New Roman" w:hAnsi="Times New Roman" w:cs="Times New Roman"/>
            <w:noProof/>
            <w:sz w:val="24"/>
            <w:szCs w:val="24"/>
          </w:rPr>
          <w:fldChar w:fldCharType="end"/>
        </w:r>
      </w:p>
    </w:sdtContent>
  </w:sdt>
  <w:p w:rsidR="0093378F" w:rsidRDefault="0093378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802" w:rsidRDefault="007648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78F"/>
    <w:rsid w:val="00076025"/>
    <w:rsid w:val="001216C3"/>
    <w:rsid w:val="00146205"/>
    <w:rsid w:val="0030429A"/>
    <w:rsid w:val="0032110E"/>
    <w:rsid w:val="00337F00"/>
    <w:rsid w:val="003F7AF5"/>
    <w:rsid w:val="00486AC6"/>
    <w:rsid w:val="0051569D"/>
    <w:rsid w:val="005443B3"/>
    <w:rsid w:val="0055350B"/>
    <w:rsid w:val="005A1409"/>
    <w:rsid w:val="007621B1"/>
    <w:rsid w:val="00764802"/>
    <w:rsid w:val="00770F9F"/>
    <w:rsid w:val="00777161"/>
    <w:rsid w:val="0093378F"/>
    <w:rsid w:val="009A1EA2"/>
    <w:rsid w:val="00A77BF4"/>
    <w:rsid w:val="00A83B17"/>
    <w:rsid w:val="00A94E32"/>
    <w:rsid w:val="00B3014B"/>
    <w:rsid w:val="00BD0A84"/>
    <w:rsid w:val="00C11634"/>
    <w:rsid w:val="00C7250C"/>
    <w:rsid w:val="00C9340C"/>
    <w:rsid w:val="00CA5C32"/>
    <w:rsid w:val="00E60727"/>
    <w:rsid w:val="00EB4DC6"/>
    <w:rsid w:val="00F10969"/>
    <w:rsid w:val="00FB6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7CEA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378F"/>
    <w:pPr>
      <w:tabs>
        <w:tab w:val="center" w:pos="4680"/>
        <w:tab w:val="right" w:pos="9360"/>
      </w:tabs>
      <w:spacing w:line="240" w:lineRule="auto"/>
    </w:pPr>
  </w:style>
  <w:style w:type="character" w:customStyle="1" w:styleId="HeaderChar">
    <w:name w:val="Header Char"/>
    <w:basedOn w:val="DefaultParagraphFont"/>
    <w:link w:val="Header"/>
    <w:uiPriority w:val="99"/>
    <w:rsid w:val="0093378F"/>
  </w:style>
  <w:style w:type="paragraph" w:styleId="Footer">
    <w:name w:val="footer"/>
    <w:basedOn w:val="Normal"/>
    <w:link w:val="FooterChar"/>
    <w:uiPriority w:val="99"/>
    <w:unhideWhenUsed/>
    <w:rsid w:val="0093378F"/>
    <w:pPr>
      <w:tabs>
        <w:tab w:val="center" w:pos="4680"/>
        <w:tab w:val="right" w:pos="9360"/>
      </w:tabs>
      <w:spacing w:line="240" w:lineRule="auto"/>
    </w:pPr>
  </w:style>
  <w:style w:type="character" w:customStyle="1" w:styleId="FooterChar">
    <w:name w:val="Footer Char"/>
    <w:basedOn w:val="DefaultParagraphFont"/>
    <w:link w:val="Footer"/>
    <w:uiPriority w:val="99"/>
    <w:rsid w:val="0093378F"/>
  </w:style>
  <w:style w:type="paragraph" w:styleId="NormalWeb">
    <w:name w:val="Normal (Web)"/>
    <w:basedOn w:val="Normal"/>
    <w:uiPriority w:val="99"/>
    <w:semiHidden/>
    <w:unhideWhenUsed/>
    <w:rsid w:val="0051569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156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435242">
      <w:bodyDiv w:val="1"/>
      <w:marLeft w:val="0"/>
      <w:marRight w:val="0"/>
      <w:marTop w:val="0"/>
      <w:marBottom w:val="0"/>
      <w:divBdr>
        <w:top w:val="none" w:sz="0" w:space="0" w:color="auto"/>
        <w:left w:val="none" w:sz="0" w:space="0" w:color="auto"/>
        <w:bottom w:val="none" w:sz="0" w:space="0" w:color="auto"/>
        <w:right w:val="none" w:sz="0" w:space="0" w:color="auto"/>
      </w:divBdr>
      <w:divsChild>
        <w:div w:id="1543978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1/jamanetworkopen.2019.20647"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2021-09-01T11:42:00Z</dcterms:created>
  <dcterms:modified xsi:type="dcterms:W3CDTF">2021-09-01T11:42:00Z</dcterms:modified>
</cp:coreProperties>
</file>